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18"/>
          <w:szCs w:val="18"/>
          <w:lang w:val="zh-CN" w:eastAsia="zh-CN"/>
        </w:rPr>
      </w:pPr>
      <w:r>
        <w:rPr>
          <w:rFonts w:hint="eastAsia" w:ascii="宋体" w:hAnsi="宋体" w:cs="宋体"/>
          <w:b/>
          <w:bCs/>
          <w:color w:val="000000"/>
          <w:sz w:val="44"/>
          <w:szCs w:val="44"/>
          <w:lang w:val="zh-CN" w:eastAsia="zh-CN"/>
        </w:rPr>
        <w:t>污水加药机技术参数要求</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1、采购项目具体要求：</w:t>
      </w:r>
    </w:p>
    <w:p>
      <w:pPr>
        <w:spacing w:line="360" w:lineRule="auto"/>
        <w:ind w:firstLine="480" w:firstLineChars="200"/>
        <w:rPr>
          <w:rFonts w:hint="default" w:ascii="宋体" w:hAnsi="宋体" w:cs="宋体"/>
          <w:color w:val="000000"/>
          <w:sz w:val="24"/>
          <w:szCs w:val="24"/>
          <w:lang w:val="zh-CN"/>
        </w:rPr>
      </w:pPr>
      <w:r>
        <w:rPr>
          <w:rFonts w:ascii="宋体" w:hAnsi="宋体" w:cs="宋体"/>
          <w:color w:val="000000"/>
          <w:sz w:val="24"/>
          <w:szCs w:val="24"/>
          <w:lang w:val="zh-CN"/>
        </w:rPr>
        <w:t>医院污水是最为严重的一种污染水体，每升医院污水中含20余万种有害微生物，包括细菌、真菌、病毒、支原体、芽孢等。医院污水排放处理后，经过循环处理可能还会成为人们所用的民用水（包括中水和饮用水），对人体健康和生态环境危害巨大，水体污染与现代社会人类肿瘤疾病的发生和大幅增加有直接和间接的关系。医院污水具有急性传播和潜伏性传播等特征，不经有效严格消毒会成为疫病扩散的一条重要途径。因此，根据国家标准《医疗机构水污染物排放标准》GB18466-2005中的排放标准，医院污水应予集中处理达到医院污水的排放标准，消毒合格方可排放。</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排放要求：按国标消毒标准</w:t>
      </w:r>
    </w:p>
    <w:p>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消毒方式要求：通过单过硫酸氢钾消毒方式</w:t>
      </w:r>
    </w:p>
    <w:p>
      <w:pPr>
        <w:spacing w:line="500" w:lineRule="exact"/>
        <w:rPr>
          <w:rFonts w:hint="default" w:ascii="宋体" w:hAnsi="宋体" w:cs="宋体"/>
          <w:color w:val="000000"/>
          <w:sz w:val="24"/>
          <w:szCs w:val="24"/>
          <w:lang w:val="zh-CN"/>
        </w:rPr>
      </w:pPr>
      <w:r>
        <w:rPr>
          <w:rFonts w:ascii="宋体" w:hAnsi="宋体" w:cs="宋体"/>
          <w:color w:val="000000"/>
          <w:sz w:val="24"/>
          <w:szCs w:val="24"/>
          <w:lang w:val="zh-CN"/>
        </w:rPr>
        <w:t>2、单过硫酸氢钾复合粉投加装置参数</w:t>
      </w:r>
      <w:bookmarkStart w:id="0" w:name="_GoBack"/>
      <w:bookmarkEnd w:id="0"/>
    </w:p>
    <w:p>
      <w:pPr>
        <w:rPr>
          <w:rFonts w:hint="default" w:ascii="宋体" w:hAnsi="宋体" w:cs="宋体"/>
          <w:color w:val="000000"/>
          <w:sz w:val="24"/>
          <w:szCs w:val="24"/>
          <w:lang w:val="zh-CN"/>
        </w:rPr>
      </w:pPr>
    </w:p>
    <w:tbl>
      <w:tblPr>
        <w:tblStyle w:val="7"/>
        <w:tblpPr w:leftFromText="180" w:rightFromText="180" w:vertAnchor="text" w:horzAnchor="page" w:tblpX="1884" w:tblpY="113"/>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980"/>
        <w:gridCol w:w="1980"/>
        <w:gridCol w:w="349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序号</w:t>
            </w: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材料名称</w:t>
            </w:r>
          </w:p>
        </w:tc>
        <w:tc>
          <w:tcPr>
            <w:tcW w:w="5474" w:type="dxa"/>
            <w:gridSpan w:val="2"/>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规格</w:t>
            </w:r>
          </w:p>
        </w:tc>
        <w:tc>
          <w:tcPr>
            <w:tcW w:w="935" w:type="dxa"/>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restart"/>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w:t>
            </w:r>
          </w:p>
        </w:tc>
        <w:tc>
          <w:tcPr>
            <w:tcW w:w="1980" w:type="dxa"/>
            <w:vMerge w:val="restart"/>
            <w:vAlign w:val="center"/>
          </w:tcPr>
          <w:p>
            <w:pPr>
              <w:adjustRightInd w:val="0"/>
              <w:snapToGrid w:val="0"/>
              <w:spacing w:line="500" w:lineRule="exact"/>
              <w:rPr>
                <w:rFonts w:hint="default" w:ascii="宋体" w:hAnsi="宋体" w:cs="宋体"/>
                <w:color w:val="000000"/>
                <w:sz w:val="24"/>
                <w:szCs w:val="24"/>
                <w:lang w:val="zh-CN"/>
              </w:rPr>
            </w:pPr>
            <w:r>
              <w:rPr>
                <w:rFonts w:ascii="宋体" w:hAnsi="宋体" w:cs="宋体"/>
                <w:color w:val="000000"/>
                <w:sz w:val="24"/>
                <w:szCs w:val="24"/>
                <w:lang w:val="zh-CN"/>
              </w:rPr>
              <w:t>单过硫酸氢钾复合粉投加装置</w:t>
            </w: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型号</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RX-100-HJ</w:t>
            </w:r>
          </w:p>
        </w:tc>
        <w:tc>
          <w:tcPr>
            <w:tcW w:w="935" w:type="dxa"/>
            <w:vMerge w:val="restart"/>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溶药箱体积</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100L</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主体材质</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PVC</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长*宽*高</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80*64*93(cm)</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投加方式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水射器+计量泵</w:t>
            </w:r>
          </w:p>
          <w:p>
            <w:pPr>
              <w:adjustRightInd w:val="0"/>
              <w:snapToGrid w:val="0"/>
              <w:spacing w:line="500" w:lineRule="exact"/>
              <w:jc w:val="center"/>
              <w:rPr>
                <w:rFonts w:hint="default" w:ascii="宋体" w:hAnsi="宋体" w:cs="宋体"/>
                <w:color w:val="000000"/>
                <w:sz w:val="24"/>
                <w:szCs w:val="24"/>
                <w:lang w:val="zh-CN"/>
              </w:rPr>
            </w:pPr>
            <w:r>
              <w:t>AKS-800-10(40w)</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搅拌方式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 xml:space="preserve">磁力循环泵 </w:t>
            </w:r>
          </w:p>
          <w:p>
            <w:pPr>
              <w:adjustRightInd w:val="0"/>
              <w:snapToGrid w:val="0"/>
              <w:spacing w:line="500" w:lineRule="exact"/>
              <w:jc w:val="center"/>
              <w:rPr>
                <w:rFonts w:hint="default" w:ascii="宋体" w:hAnsi="宋体" w:cs="宋体"/>
                <w:color w:val="000000"/>
                <w:sz w:val="24"/>
                <w:szCs w:val="24"/>
                <w:lang w:val="zh-CN"/>
              </w:rPr>
            </w:pPr>
            <w:r>
              <w:t>MP-70RM（150W）</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控制方式</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按钮开关</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配药周期</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24H/次</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vMerge w:val="continue"/>
            <w:tcBorders>
              <w:lef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Merge w:val="continue"/>
            <w:vAlign w:val="center"/>
          </w:tcPr>
          <w:p>
            <w:pPr>
              <w:adjustRightInd w:val="0"/>
              <w:snapToGrid w:val="0"/>
              <w:spacing w:line="500" w:lineRule="exact"/>
              <w:jc w:val="center"/>
              <w:rPr>
                <w:rFonts w:hint="default" w:ascii="宋体" w:hAnsi="宋体" w:cs="宋体"/>
                <w:color w:val="000000"/>
                <w:sz w:val="24"/>
                <w:szCs w:val="24"/>
                <w:lang w:val="zh-CN"/>
              </w:rPr>
            </w:pPr>
          </w:p>
        </w:tc>
        <w:tc>
          <w:tcPr>
            <w:tcW w:w="1980" w:type="dxa"/>
            <w:vAlign w:val="center"/>
          </w:tcPr>
          <w:p>
            <w:pPr>
              <w:adjustRightInd w:val="0"/>
              <w:snapToGrid w:val="0"/>
              <w:spacing w:line="500" w:lineRule="exact"/>
              <w:jc w:val="center"/>
              <w:rPr>
                <w:rFonts w:hint="default" w:ascii="宋体" w:hAnsi="宋体" w:cs="宋体"/>
                <w:color w:val="000000"/>
                <w:sz w:val="24"/>
                <w:szCs w:val="24"/>
                <w:lang w:val="zh-CN"/>
              </w:rPr>
            </w:pPr>
            <w:r>
              <w:rPr>
                <w:rFonts w:ascii="宋体" w:hAnsi="宋体" w:cs="宋体"/>
                <w:color w:val="000000"/>
                <w:sz w:val="24"/>
                <w:szCs w:val="24"/>
                <w:lang w:val="zh-CN"/>
              </w:rPr>
              <w:t>消毒规模</w:t>
            </w:r>
          </w:p>
        </w:tc>
        <w:tc>
          <w:tcPr>
            <w:tcW w:w="3494" w:type="dxa"/>
            <w:vAlign w:val="center"/>
          </w:tcPr>
          <w:p>
            <w:pPr>
              <w:adjustRightInd w:val="0"/>
              <w:snapToGrid w:val="0"/>
              <w:spacing w:line="500" w:lineRule="exact"/>
              <w:jc w:val="center"/>
              <w:rPr>
                <w:rFonts w:hint="default" w:ascii="宋体" w:hAnsi="宋体" w:cs="宋体"/>
                <w:color w:val="000000"/>
                <w:sz w:val="24"/>
                <w:szCs w:val="24"/>
                <w:lang w:val="zh-CN"/>
              </w:rPr>
            </w:pPr>
            <w:r>
              <w:t>≤400T/d</w:t>
            </w:r>
          </w:p>
        </w:tc>
        <w:tc>
          <w:tcPr>
            <w:tcW w:w="935" w:type="dxa"/>
            <w:vMerge w:val="continue"/>
            <w:tcBorders>
              <w:right w:val="single" w:color="auto" w:sz="4" w:space="0"/>
            </w:tcBorders>
            <w:vAlign w:val="center"/>
          </w:tcPr>
          <w:p>
            <w:pPr>
              <w:adjustRightInd w:val="0"/>
              <w:snapToGrid w:val="0"/>
              <w:spacing w:line="500" w:lineRule="exact"/>
              <w:jc w:val="center"/>
              <w:rPr>
                <w:rFonts w:hint="default" w:ascii="宋体" w:hAnsi="宋体" w:cs="宋体"/>
                <w:color w:val="000000"/>
                <w:sz w:val="24"/>
                <w:szCs w:val="24"/>
                <w:lang w:val="zh-CN"/>
              </w:rPr>
            </w:pPr>
          </w:p>
        </w:tc>
      </w:tr>
    </w:tbl>
    <w:p>
      <w:pPr>
        <w:spacing w:line="360" w:lineRule="auto"/>
        <w:rPr>
          <w:rFonts w:hint="default" w:ascii="宋体" w:hAnsi="宋体" w:cs="宋体"/>
          <w:color w:val="000000"/>
          <w:sz w:val="24"/>
          <w:szCs w:val="24"/>
          <w:lang w:val="zh-CN"/>
        </w:rPr>
      </w:pPr>
      <w:r>
        <w:rPr>
          <w:rFonts w:hint="default" w:ascii="宋体" w:hAnsi="宋体" w:cs="宋体"/>
          <w:color w:val="000000"/>
          <w:sz w:val="24"/>
          <w:szCs w:val="24"/>
          <w:lang w:val="zh-CN"/>
        </w:rPr>
        <w:t>3</w:t>
      </w:r>
      <w:r>
        <w:rPr>
          <w:rFonts w:ascii="宋体" w:hAnsi="宋体" w:cs="宋体"/>
          <w:color w:val="000000"/>
          <w:sz w:val="24"/>
          <w:szCs w:val="24"/>
          <w:lang w:val="zh-CN"/>
        </w:rPr>
        <w:t>、设备特点：</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1、运行稳定。</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2、采用计量泵和水射器两种投加方式，投加效果好，计量准确。</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3、采用循环泵搅拌溶解，溶解效果好且噪声小。</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 xml:space="preserve">4、具有刺激性气味排出和残液排出设备，减少对工作环境影响和二次污染。                                                                                                                                                                                                                                                          </w:t>
      </w:r>
    </w:p>
    <w:p>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5、采用PVC材质，耐氧化，使用时间长。</w:t>
      </w:r>
    </w:p>
    <w:p>
      <w:pPr>
        <w:spacing w:line="360" w:lineRule="auto"/>
        <w:rPr>
          <w:rFonts w:ascii="宋体" w:hAnsi="宋体" w:cs="宋体"/>
          <w:color w:val="000000"/>
          <w:sz w:val="24"/>
          <w:szCs w:val="24"/>
          <w:lang w:val="zh-CN"/>
        </w:rPr>
      </w:pPr>
      <w:r>
        <w:rPr>
          <w:rFonts w:hint="default" w:ascii="宋体" w:hAnsi="宋体" w:cs="宋体"/>
          <w:color w:val="000000"/>
          <w:sz w:val="24"/>
          <w:szCs w:val="24"/>
          <w:lang w:val="zh-CN"/>
        </w:rPr>
        <w:t>4</w:t>
      </w:r>
      <w:r>
        <w:rPr>
          <w:rFonts w:ascii="宋体" w:hAnsi="宋体" w:cs="宋体"/>
          <w:color w:val="000000"/>
          <w:sz w:val="24"/>
          <w:szCs w:val="24"/>
          <w:lang w:val="zh-CN"/>
        </w:rPr>
        <w:t>、适用范围：</w:t>
      </w:r>
    </w:p>
    <w:p>
      <w:pPr>
        <w:spacing w:line="360" w:lineRule="auto"/>
        <w:ind w:firstLine="480"/>
        <w:rPr>
          <w:rFonts w:ascii="宋体" w:hAnsi="宋体" w:cs="宋体"/>
          <w:color w:val="000000"/>
          <w:sz w:val="24"/>
          <w:szCs w:val="24"/>
          <w:lang w:val="zh-CN"/>
        </w:rPr>
      </w:pPr>
      <w:r>
        <w:rPr>
          <w:rFonts w:ascii="宋体" w:hAnsi="宋体" w:cs="宋体"/>
          <w:color w:val="000000"/>
          <w:sz w:val="24"/>
          <w:szCs w:val="24"/>
          <w:lang w:val="zh-CN"/>
        </w:rPr>
        <w:t>适用于自来水厂、医院污水、生活废水等。</w:t>
      </w:r>
    </w:p>
    <w:p>
      <w:pPr>
        <w:spacing w:line="360" w:lineRule="auto"/>
        <w:jc w:val="both"/>
        <w:rPr>
          <w:rFonts w:hint="eastAsia" w:ascii="仿宋" w:hAnsi="仿宋" w:eastAsia="仿宋"/>
          <w:b/>
          <w:sz w:val="32"/>
          <w:szCs w:val="28"/>
        </w:rPr>
      </w:pPr>
    </w:p>
    <w:p>
      <w:pPr>
        <w:spacing w:line="360" w:lineRule="auto"/>
        <w:ind w:left="676" w:leftChars="322"/>
        <w:rPr>
          <w:rFonts w:hint="eastAsia" w:ascii="仿宋" w:hAnsi="仿宋" w:eastAsia="仿宋"/>
          <w:sz w:val="28"/>
          <w:szCs w:val="28"/>
        </w:rPr>
      </w:pPr>
    </w:p>
    <w:p>
      <w:pPr>
        <w:pStyle w:val="2"/>
        <w:ind w:firstLine="480"/>
        <w:rPr>
          <w:rFonts w:hint="default"/>
          <w:lang w:val="zh-CN"/>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1MTViYTkxNzI2MDhmODJiOTk3ZGUwNGYwNDMxNWMifQ=="/>
  </w:docVars>
  <w:rsids>
    <w:rsidRoot w:val="00905A3B"/>
    <w:rsid w:val="000C0827"/>
    <w:rsid w:val="006E29FE"/>
    <w:rsid w:val="00856D69"/>
    <w:rsid w:val="00905A3B"/>
    <w:rsid w:val="00C74F9C"/>
    <w:rsid w:val="00D819D1"/>
    <w:rsid w:val="00DF574E"/>
    <w:rsid w:val="00E912D5"/>
    <w:rsid w:val="00E96F43"/>
    <w:rsid w:val="1B304740"/>
    <w:rsid w:val="6A0F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styleId="3">
    <w:name w:val="heading 1"/>
    <w:basedOn w:val="1"/>
    <w:next w:val="1"/>
    <w:link w:val="11"/>
    <w:qFormat/>
    <w:uiPriority w:val="0"/>
    <w:pPr>
      <w:keepNext/>
      <w:keepLines/>
      <w:spacing w:line="360" w:lineRule="auto"/>
      <w:jc w:val="center"/>
      <w:outlineLvl w:val="0"/>
    </w:pPr>
    <w:rPr>
      <w:rFonts w:eastAsia="黑体"/>
      <w:kern w:val="44"/>
      <w:sz w:val="30"/>
    </w:rPr>
  </w:style>
  <w:style w:type="paragraph" w:styleId="2">
    <w:name w:val="heading 2"/>
    <w:basedOn w:val="1"/>
    <w:next w:val="1"/>
    <w:link w:val="12"/>
    <w:qFormat/>
    <w:uiPriority w:val="0"/>
    <w:pPr>
      <w:keepNext/>
      <w:keepLines/>
      <w:spacing w:before="260" w:after="260" w:line="415" w:lineRule="auto"/>
      <w:jc w:val="center"/>
      <w:outlineLvl w:val="1"/>
    </w:pPr>
    <w:rPr>
      <w:rFonts w:ascii="Arial" w:hAnsi="Arial" w:eastAsia="黑体"/>
      <w:sz w:val="8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next w:val="1"/>
    <w:qFormat/>
    <w:uiPriority w:val="99"/>
    <w:pPr>
      <w:widowControl w:val="0"/>
      <w:autoSpaceDE w:val="0"/>
      <w:autoSpaceDN w:val="0"/>
      <w:adjustRightInd/>
      <w:snapToGrid/>
      <w:spacing w:after="0"/>
    </w:pPr>
    <w:rPr>
      <w:rFonts w:ascii="宋体" w:hAnsi="宋体" w:eastAsia="宋体" w:cs="宋体"/>
      <w:sz w:val="24"/>
      <w:szCs w:val="24"/>
      <w:lang w:val="ja-JP" w:eastAsia="ja-JP" w:bidi="ja-JP"/>
    </w:rPr>
  </w:style>
  <w:style w:type="paragraph" w:styleId="5">
    <w:name w:val="footer"/>
    <w:basedOn w:val="1"/>
    <w:link w:val="10"/>
    <w:unhideWhenUsed/>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3"/>
    <w:qFormat/>
    <w:uiPriority w:val="0"/>
    <w:rPr>
      <w:rFonts w:ascii="Times New Roman" w:hAnsi="Times New Roman" w:eastAsia="黑体" w:cs="Times New Roman"/>
      <w:kern w:val="44"/>
      <w:sz w:val="30"/>
      <w:szCs w:val="20"/>
    </w:rPr>
  </w:style>
  <w:style w:type="character" w:customStyle="1" w:styleId="12">
    <w:name w:val="标题 2 Char"/>
    <w:basedOn w:val="8"/>
    <w:link w:val="2"/>
    <w:qFormat/>
    <w:uiPriority w:val="0"/>
    <w:rPr>
      <w:rFonts w:ascii="Arial" w:hAnsi="Arial" w:eastAsia="黑体" w:cs="Times New Roman"/>
      <w:sz w:val="84"/>
      <w:szCs w:val="20"/>
    </w:rPr>
  </w:style>
  <w:style w:type="paragraph" w:customStyle="1" w:styleId="13">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Calibri" w:hAnsi="Calibri" w:eastAsia="微软雅黑"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680</Words>
  <Characters>756</Characters>
  <Lines>7</Lines>
  <Paragraphs>2</Paragraphs>
  <TotalTime>3</TotalTime>
  <ScaleCrop>false</ScaleCrop>
  <LinksUpToDate>false</LinksUpToDate>
  <CharactersWithSpaces>1007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2022-05-10T03:25:00Z</dcterms:created>
  <dc:creator>Lenovo</dc:creator>
  <cp:lastModifiedBy>桐生一马</cp:lastModifiedBy>
  <dcterms:modified xsi:type="dcterms:W3CDTF">2022-05-11T09:03:10Z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74468A627ED4479A8B4F24D1258C0F8B</vt:lpwstr>
  </property>
</Properties>
</file>