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徐州市口腔医院保洁要求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科室地面每天至少全面拖两次，地面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如有血迹，唾液等污渍，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倒消毒液湿润地面，用一次性纸巾覆盖污染物上，吸附清除污染物，置于黄色垃圾袋内，将抹布在有效氯浓度1000mg/L含氯消毒液中浸湿，覆盖在污染面，作用30分钟，再用消毒过的抹布或者拖把进行二次擦拭污染地面，将抹布或拖把清洗后晾干备用。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巡回保洁，发现卫生间洁具损坏等问题，应及时通知报修，发现卫生间马桶或蹲厕有堵现象，由保洁公司负责疏通。保证无卫生死角，无异味、臭味，洁具洁净无黄渍，目视无沉积污渍，发现第一次给予警告，第二次扣罚50元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医疗垃圾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每天至少两次专人专运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医院指定地点（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上午、下午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一次），医疗垃圾与非医疗垃圾分类及未污染输液瓶转运必须符合院感要求，医疗垃圾称重并记录。如发现医疗垃圾丢失、外运、偷盗等行为给予保洁公司解除合同并上报有关部门处理。发现垃圾袋已满，应及时更换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医疗垃圾盛装不应超过包装物或者容积的3/4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，保证无外溢垃圾、异味、随便存放或医疗与生活垃圾混放、过夜垃圾，每发现一处扣罚50元、过夜医疗垃圾每处扣罚100元，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随时随地清理，中午、下午下班前应使用有效氯浓度500mg/L含氯消毒液冲洗清理痰盂后清水再冲洗。第一次给予警告，第二次扣罚50元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玻璃门、楼道梯扶手、瓷砖墙面、楼道门窗、楼道灯开关、牙椅，每周至少彻底擦1次，玻璃窗、消防器材、墙面，每半个月至少彻底擦1次，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每个椅位除大夫工作台，其他区域都要打扫。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内间隔椅位之间的挡板每月彻底清洁一次，应使用有效氯浓度500mg/L含氯消毒液全面清洁椅位组织结构，挡板如有血迹应使用效氯浓度500mg/L含氯消毒液清洁，保证目视干净，无明显污迹、手印、灰尘，无蜘蛛网。发现第一次给予警告，第二次扣罚20元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窗台每天擦1次、室外地面、花坛、巡回保洁，保证窗台无灰尘。室外地面及花坛无卫生死角、烟头、明显污渍、积水、纸屑、果皮，发现第一次给予警告，第二次扣罚20元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七、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门诊、病房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每日全面擦拭清洁一次。保证物品设施整洁有序，无灰尘、无污垢、无水渍。发现一次给予警告，第二次扣罚50元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八、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电梯工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具有电梯操作资格证，能及时处理应急停机应急故障，保证电梯内外的清洁卫生，做到无污迹、无垃圾、无灰尘、违反规定第一次给予警告，第二次扣罚50元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手术间内及手术室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地面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、墙面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每班后使用效氯浓度500mg/L含氯消毒液湿式清扫,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走廊墙面每周2次使用效氯浓度500mg/L含氯消毒液擦拭,病房墙面定期打扫，确保无蜘蛛网无灰尘。房间内窗台、玻璃、电视、设备带、床头柜、床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、衣柜所有物品表面要每天清洁，床头柜每日使用效氯浓度500mg/L含氯消毒液擦拭，要求一柜一巾，柜内和抽屉内在病人出院后及时彻底清理，不留杂物。拖把用后清洗干净，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分区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挂起晾干，拖地时无异味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卫生间大便池和小便池定期用洁厕液清洁，手术室淋浴间墙面每周清洁（如用硫酸清洁时，浓度不要太高，避免弄的满楼都是硫酸的烟雾，影响患者正常的活动和居住环境，可选在周末进行）保持无垢，无异味。输液室内输液椅、电视表面定期擦拭，痰盂上的垃圾袋及时更换。手术间内通风口定期清洁。手术室内换下的手术衣裤、巾单类物品及手术的垃圾及时清理。病区所有的清洁工作应在早上八点上班前完成，手术室清洁工作根据手术需要弹性调节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院感科每年组织两次保洁人员相关知识培训，保洁人员应全部参加，不得缺席（特殊情况除外）。保洁人员发生变动，物业公司向总务科提出申请，总务科请相关科室对新进人员进行培训，该培训费用由物业公司承担，50元/人，如未申请自行更换保洁人员，每发现一人处罚100元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得私自更换医疗废物转运人员，如有人员需要调整更换，应及时向总务科提出申请，总务科请院感科工作人员对其进行培训，合格后方可担任该工作，此培训费用由物业公司承担，培训费用为100元/人，擅自更换人员未申请培训者发现一次处罚200元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保洁人员发生变动，应及时将人员信息更改汇总并在医院感染管理科备案，如未备案每发现一人处罚50元。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、必须按要求及每个科室工作服数量准确无误进行收发，及时和洗涤公司做好接收登记。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收发错误，保洁人员负责找回，如丢失，收发人员负责赔偿，连续二次收发错误，处罚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100元。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每个星期两次发送一次性使用口腔护理包至各个科室。</w:t>
      </w: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洁人员要求必须50岁以内，无犯罪记录，五官端正，身无残疾，无智障健康人员，如发现超过50岁一律辞退。中途更换保洁人员必须报备保卫科及院感。服从院方管理，遇突发事件或检查，应服从院方及科室安排。遵守医院有关规章制度，不在上班时间玩手机、不迟到、早退，工作时间不私自会客、聚堆聊天，睡觉，脱岗、窜岗；无浪费水、电及材料，无病人或职工投诉，每发现一次或一处扣罚100元，私自携带医院物品外出或变卖，根据具体情况而定，每发现一次最低扣罚500元起，并按照医院有关规定处理</w:t>
      </w:r>
    </w:p>
    <w:p>
      <w:pPr>
        <w:pStyle w:val="5"/>
        <w:numPr>
          <w:ilvl w:val="0"/>
          <w:numId w:val="0"/>
        </w:numPr>
        <w:ind w:leftChars="0"/>
        <w:rPr>
          <w:rFonts w:ascii="宋体" w:hAnsi="宋体" w:cs="宋体"/>
          <w:color w:val="auto"/>
          <w:sz w:val="24"/>
        </w:rPr>
      </w:pPr>
    </w:p>
    <w:p>
      <w:pPr>
        <w:pStyle w:val="5"/>
        <w:numPr>
          <w:ilvl w:val="0"/>
          <w:numId w:val="0"/>
        </w:numPr>
        <w:ind w:leftChars="0"/>
        <w:rPr>
          <w:rFonts w:ascii="宋体" w:hAnsi="宋体" w:cs="宋体"/>
          <w:color w:val="auto"/>
          <w:sz w:val="24"/>
        </w:rPr>
      </w:pPr>
    </w:p>
    <w:p>
      <w:pPr>
        <w:numPr>
          <w:ilvl w:val="0"/>
          <w:numId w:val="0"/>
        </w:numPr>
        <w:rPr>
          <w:rFonts w:hint="eastAsia" w:ascii="宋体" w:hAnsi="宋体" w:cs="宋体" w:eastAsiaTheme="minorEastAsia"/>
          <w:sz w:val="24"/>
          <w:lang w:eastAsia="zh-CN"/>
        </w:rPr>
      </w:pPr>
    </w:p>
    <w:p>
      <w:pPr>
        <w:numPr>
          <w:ilvl w:val="0"/>
          <w:numId w:val="0"/>
        </w:numPr>
        <w:rPr>
          <w:rFonts w:ascii="宋体" w:hAnsi="宋体" w:cs="宋体"/>
          <w:sz w:val="24"/>
        </w:rPr>
      </w:pPr>
    </w:p>
    <w:p>
      <w:pPr>
        <w:numPr>
          <w:ilvl w:val="0"/>
          <w:numId w:val="0"/>
        </w:numPr>
        <w:rPr>
          <w:rFonts w:ascii="宋体" w:hAnsi="宋体" w:cs="宋体"/>
          <w:sz w:val="24"/>
        </w:rPr>
      </w:pPr>
    </w:p>
    <w:p>
      <w:pPr>
        <w:numPr>
          <w:ilvl w:val="0"/>
          <w:numId w:val="0"/>
        </w:numPr>
        <w:rPr>
          <w:rFonts w:hint="eastAsia" w:ascii="宋体" w:hAnsi="宋体" w:cs="宋体" w:eastAsiaTheme="minorEastAsia"/>
          <w:sz w:val="24"/>
          <w:lang w:eastAsia="zh-CN"/>
        </w:rPr>
      </w:pPr>
    </w:p>
    <w:p>
      <w:pPr>
        <w:numPr>
          <w:ilvl w:val="0"/>
          <w:numId w:val="0"/>
        </w:numPr>
        <w:ind w:firstLine="4560" w:firstLineChars="1900"/>
        <w:jc w:val="both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以上参数符合招标文件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7DE32"/>
    <w:multiLevelType w:val="singleLevel"/>
    <w:tmpl w:val="BF67DE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035DA"/>
    <w:rsid w:val="068035DA"/>
    <w:rsid w:val="08D85887"/>
    <w:rsid w:val="12914336"/>
    <w:rsid w:val="267351F7"/>
    <w:rsid w:val="2A210BDB"/>
    <w:rsid w:val="3B7E0B6E"/>
    <w:rsid w:val="48230FCE"/>
    <w:rsid w:val="5AFD6AD4"/>
    <w:rsid w:val="5FE80B21"/>
    <w:rsid w:val="66CC7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2019-02-20T08:25:00Z</dcterms:created>
  <dc:creator>一天到晚</dc:creator>
  <cp:lastModifiedBy>Administrator</cp:lastModifiedBy>
  <dcterms:modified xsi:type="dcterms:W3CDTF">2019-02-27T03:31:56Z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